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hint="eastAsia" w:asciiTheme="minorEastAsia" w:hAnsiTheme="minorEastAsia" w:eastAsiaTheme="minorEastAsia" w:cstheme="minorEastAsia"/>
          <w:b/>
          <w:sz w:val="24"/>
          <w:lang w:val="en-US" w:eastAsia="zh-CN"/>
        </w:rPr>
      </w:pPr>
      <w:r>
        <w:rPr>
          <w:rFonts w:hint="eastAsia" w:asciiTheme="minorEastAsia" w:hAnsiTheme="minorEastAsia" w:cstheme="minorEastAsia"/>
          <w:b/>
          <w:sz w:val="24"/>
        </w:rPr>
        <w:t>买受方（甲方）：威海建设集团股份有限公司</w:t>
      </w:r>
      <w:r>
        <w:rPr>
          <w:rFonts w:hint="eastAsia" w:asciiTheme="minorEastAsia" w:hAnsiTheme="minorEastAsia" w:cstheme="minorEastAsia"/>
          <w:b/>
          <w:sz w:val="24"/>
          <w:lang w:eastAsia="zh-CN"/>
        </w:rPr>
        <w:t>高区分公司</w:t>
      </w:r>
    </w:p>
    <w:p>
      <w:pPr>
        <w:spacing w:line="500" w:lineRule="exact"/>
        <w:rPr>
          <w:rFonts w:asciiTheme="minorEastAsia" w:hAnsiTheme="minorEastAsia" w:cstheme="minorEastAsia"/>
          <w:b/>
          <w:sz w:val="24"/>
        </w:rPr>
      </w:pPr>
    </w:p>
    <w:p>
      <w:pPr>
        <w:spacing w:line="500" w:lineRule="exact"/>
        <w:rPr>
          <w:rFonts w:hint="eastAsia" w:asciiTheme="minorEastAsia" w:hAnsiTheme="minorEastAsia" w:cstheme="minorEastAsia"/>
          <w:b/>
          <w:sz w:val="24"/>
        </w:rPr>
      </w:pPr>
      <w:r>
        <w:rPr>
          <w:rFonts w:hint="eastAsia" w:asciiTheme="minorEastAsia" w:hAnsiTheme="minorEastAsia" w:cstheme="minorEastAsia"/>
          <w:b/>
          <w:sz w:val="24"/>
        </w:rPr>
        <w:t>出卖方（乙方）：</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日签订的编号为</w:t>
      </w:r>
      <w:r>
        <w:rPr>
          <w:rFonts w:hint="eastAsia" w:asciiTheme="minorEastAsia" w:hAnsiTheme="minorEastAsia" w:cstheme="minorEastAsia"/>
          <w:sz w:val="24"/>
          <w:u w:val="single"/>
          <w:lang w:val="en-US" w:eastAsia="zh-CN"/>
        </w:rPr>
        <w:t xml:space="preserve">CL-HT-2024-      </w:t>
      </w:r>
      <w:r>
        <w:rPr>
          <w:rFonts w:hint="eastAsia" w:asciiTheme="minorEastAsia" w:hAnsiTheme="minorEastAsia" w:cstheme="minorEastAsia"/>
          <w:sz w:val="24"/>
          <w:u w:val="single"/>
          <w:lang w:val="en-US" w:eastAsia="zh-CN"/>
        </w:rPr>
        <w:fldChar w:fldCharType="begin"/>
      </w:r>
      <w:r>
        <w:rPr>
          <w:rFonts w:hint="eastAsia" w:asciiTheme="minorEastAsia" w:hAnsiTheme="minorEastAsia" w:cstheme="minorEastAsia"/>
          <w:sz w:val="24"/>
          <w:u w:val="single"/>
          <w:lang w:val="en-US" w:eastAsia="zh-CN"/>
        </w:rPr>
        <w:instrText xml:space="preserve"> HYPERLINK "http://221.2.145.228:8080/Material/BidResult/Open?Id=30300" \t "http://221.2.145.228:8080/Material/Contract/_blank" </w:instrText>
      </w:r>
      <w:r>
        <w:rPr>
          <w:rFonts w:hint="eastAsia" w:asciiTheme="minorEastAsia" w:hAnsiTheme="minorEastAsia" w:cstheme="minorEastAsia"/>
          <w:sz w:val="24"/>
          <w:u w:val="single"/>
          <w:lang w:val="en-US" w:eastAsia="zh-CN"/>
        </w:rPr>
        <w:fldChar w:fldCharType="separate"/>
      </w:r>
      <w:r>
        <w:rPr>
          <w:rFonts w:hint="eastAsia" w:asciiTheme="minorEastAsia" w:hAnsiTheme="minorEastAsia" w:cstheme="minorEastAsia"/>
          <w:sz w:val="24"/>
          <w:u w:val="single"/>
          <w:lang w:val="en-US" w:eastAsia="zh-CN"/>
        </w:rPr>
        <w:t xml:space="preserve">恒山社区建制镇驻地棚户区改造项目G地块 </w:t>
      </w:r>
      <w:r>
        <w:rPr>
          <w:rFonts w:hint="eastAsia" w:asciiTheme="minorEastAsia" w:hAnsiTheme="minorEastAsia" w:cstheme="minorEastAsia"/>
          <w:sz w:val="24"/>
          <w:u w:val="single"/>
          <w:lang w:val="en-US" w:eastAsia="zh-CN"/>
        </w:rPr>
        <w:fldChar w:fldCharType="end"/>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、本协议与编号为</w:t>
      </w:r>
      <w:r>
        <w:rPr>
          <w:rFonts w:hint="eastAsia" w:asciiTheme="minorEastAsia" w:hAnsiTheme="minorEastAsia" w:cstheme="minorEastAsia"/>
          <w:sz w:val="24"/>
          <w:u w:val="single"/>
          <w:lang w:val="en-US" w:eastAsia="zh-CN"/>
        </w:rPr>
        <w:t xml:space="preserve">CL-HT-2024-    </w:t>
      </w:r>
      <w:r>
        <w:rPr>
          <w:rFonts w:hint="eastAsia" w:asciiTheme="minorEastAsia" w:hAnsiTheme="minorEastAsia" w:cstheme="minorEastAsia"/>
          <w:sz w:val="24"/>
          <w:u w:val="single"/>
          <w:lang w:val="en-US" w:eastAsia="zh-CN"/>
        </w:rPr>
        <w:fldChar w:fldCharType="begin"/>
      </w:r>
      <w:r>
        <w:rPr>
          <w:rFonts w:hint="eastAsia" w:asciiTheme="minorEastAsia" w:hAnsiTheme="minorEastAsia" w:cstheme="minorEastAsia"/>
          <w:sz w:val="24"/>
          <w:u w:val="single"/>
          <w:lang w:val="en-US" w:eastAsia="zh-CN"/>
        </w:rPr>
        <w:instrText xml:space="preserve"> HYPERLINK "http://221.2.145.228:8080/Material/BidResult/Open?Id=30300" \t "http://221.2.145.228:8080/Material/Contract/_blank" </w:instrText>
      </w:r>
      <w:r>
        <w:rPr>
          <w:rFonts w:hint="eastAsia" w:asciiTheme="minorEastAsia" w:hAnsiTheme="minorEastAsia" w:cstheme="minorEastAsia"/>
          <w:sz w:val="24"/>
          <w:u w:val="single"/>
          <w:lang w:val="en-US" w:eastAsia="zh-CN"/>
        </w:rPr>
        <w:fldChar w:fldCharType="separate"/>
      </w:r>
      <w:r>
        <w:rPr>
          <w:rFonts w:hint="eastAsia" w:asciiTheme="minorEastAsia" w:hAnsiTheme="minorEastAsia" w:cstheme="minorEastAsia"/>
          <w:sz w:val="24"/>
          <w:u w:val="single"/>
          <w:lang w:val="en-US" w:eastAsia="zh-CN"/>
        </w:rPr>
        <w:t xml:space="preserve">恒山社区建制镇驻地棚户区改造项目G地块 </w:t>
      </w:r>
      <w:r>
        <w:rPr>
          <w:rFonts w:hint="eastAsia" w:asciiTheme="minorEastAsia" w:hAnsiTheme="minorEastAsia" w:cstheme="minorEastAsia"/>
          <w:sz w:val="24"/>
          <w:u w:val="single"/>
          <w:lang w:val="en-US" w:eastAsia="zh-CN"/>
        </w:rPr>
        <w:fldChar w:fldCharType="end"/>
      </w:r>
      <w:r>
        <w:rPr>
          <w:rFonts w:hint="eastAsia" w:asciiTheme="minorEastAsia" w:hAnsiTheme="minorEastAsia" w:cstheme="minorEastAsia"/>
          <w:sz w:val="24"/>
          <w:u w:val="single"/>
          <w:lang w:val="en-US" w:eastAsia="zh-CN"/>
        </w:rPr>
        <w:t xml:space="preserve">    </w:t>
      </w:r>
      <w:bookmarkStart w:id="0" w:name="_GoBack"/>
      <w:bookmarkEnd w:id="0"/>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rPr>
          <w:rFonts w:asciiTheme="minorEastAsia" w:hAnsiTheme="minorEastAsia" w:cstheme="minorEastAsia"/>
          <w:b/>
          <w:bCs/>
          <w:sz w:val="32"/>
          <w:szCs w:val="40"/>
        </w:rPr>
      </w:pPr>
    </w:p>
    <w:tbl>
      <w:tblPr>
        <w:tblStyle w:val="4"/>
        <w:tblW w:w="9441" w:type="dxa"/>
        <w:tblInd w:w="98" w:type="dxa"/>
        <w:tblLayout w:type="autofit"/>
        <w:tblCellMar>
          <w:top w:w="0" w:type="dxa"/>
          <w:left w:w="108" w:type="dxa"/>
          <w:bottom w:w="0" w:type="dxa"/>
          <w:right w:w="108" w:type="dxa"/>
        </w:tblCellMar>
      </w:tblPr>
      <w:tblGrid>
        <w:gridCol w:w="679"/>
        <w:gridCol w:w="1732"/>
        <w:gridCol w:w="760"/>
        <w:gridCol w:w="1099"/>
        <w:gridCol w:w="1281"/>
        <w:gridCol w:w="1080"/>
        <w:gridCol w:w="740"/>
        <w:gridCol w:w="820"/>
        <w:gridCol w:w="1565"/>
      </w:tblGrid>
      <w:tr>
        <w:tblPrEx>
          <w:tblCellMar>
            <w:top w:w="0" w:type="dxa"/>
            <w:left w:w="108" w:type="dxa"/>
            <w:bottom w:w="0" w:type="dxa"/>
            <w:right w:w="108" w:type="dxa"/>
          </w:tblCellMar>
        </w:tblPrEx>
        <w:trPr>
          <w:trHeight w:val="300" w:hRule="atLeast"/>
        </w:trPr>
        <w:tc>
          <w:tcPr>
            <w:tcW w:w="680" w:type="dxa"/>
            <w:tcBorders>
              <w:top w:val="single" w:color="auto" w:sz="4" w:space="0"/>
              <w:left w:val="single" w:color="auto" w:sz="4" w:space="0"/>
              <w:bottom w:val="single" w:color="auto" w:sz="4" w:space="0"/>
              <w:right w:val="single" w:color="auto" w:sz="4" w:space="0"/>
            </w:tcBorders>
            <w:noWrap/>
            <w:textDirection w:val="tbRlV"/>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435"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楼号房号</w:t>
            </w:r>
          </w:p>
        </w:tc>
        <w:tc>
          <w:tcPr>
            <w:tcW w:w="76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房产面积</w:t>
            </w:r>
          </w:p>
        </w:tc>
        <w:tc>
          <w:tcPr>
            <w:tcW w:w="108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房产金额</w:t>
            </w:r>
          </w:p>
        </w:tc>
        <w:tc>
          <w:tcPr>
            <w:tcW w:w="1281"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草厦信息</w:t>
            </w:r>
          </w:p>
        </w:tc>
        <w:tc>
          <w:tcPr>
            <w:tcW w:w="108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草厦金额</w:t>
            </w:r>
          </w:p>
        </w:tc>
        <w:tc>
          <w:tcPr>
            <w:tcW w:w="74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车位信息</w:t>
            </w:r>
          </w:p>
        </w:tc>
        <w:tc>
          <w:tcPr>
            <w:tcW w:w="82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车位金额</w:t>
            </w:r>
          </w:p>
        </w:tc>
        <w:tc>
          <w:tcPr>
            <w:tcW w:w="1565"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合计金额</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磐麓学院</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5#704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182.38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1971345.42</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S21,17.32平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45032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A190</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2,116,377.42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5#404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182.38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1934869.42</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S27，11.68平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30368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A189</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2,065,237.42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5#204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182.19</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1918278.51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S22，25.67平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66742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A188</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2,085,020.51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10#1002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1539491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S18,36.94平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96044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C030</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1,715,535.00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1#1003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93.92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910085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S48,13.35平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34710</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A041</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1,024,795.00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12#1602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1184730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S51，10.62平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27612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B007</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1,292,342.00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1#703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93.92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886229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S8，13.57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35282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A043</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1,001,511.00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1#603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93.92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878246</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S12,12.59</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32734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A042</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990,980.00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12#402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1095230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S6，11.42平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29692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B045</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1,204,922.00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12#1302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1172414</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S47，9.93平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25818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B046</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1,278,232.00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12#1402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1174877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S46，14.04平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36504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B047</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1,291,381.00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12#1502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1179803</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S48，10.62平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27612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B048</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1,287,415.00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12#1702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1090304</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S41，16.37平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42562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B049</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1,212,866.00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12#1203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1172414</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S63，10.28平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26728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B036</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1,279,142.00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12#1303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1174877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S61，10.33平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26858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B037</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1,281,735.00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1024661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S42，13.47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35022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A036</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1,139,683.00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1#1101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1042797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S49,13.63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35438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A039</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1,158,235.00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1#1301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1054105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S61，19.25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50050</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A030</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1,184,155.00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1#1401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1056345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S65，13.99</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36374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A031</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1,172,719.00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1#306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988497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S37，19.8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51480</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A021</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1,119,977.00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1#406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992977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S31，20.82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54132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A022</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1,127,109.00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1#506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997565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S32，17.72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46072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A023</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1,123,637.00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1#606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1006632</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S28，9.47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24622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A024</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1,111,254.00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1#706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1015594</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S25，13.01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33826</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A025</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1,129,420.00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1#806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1024661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S21，18.35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47710</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A026</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1,152,371.00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1033729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S19，14.22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36972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A051</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1,150,701.00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1#1006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1042797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S84，16.95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44070</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A050</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1,166,867.00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1#1106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1051865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S81，14.84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38584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A049</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1,170,449.00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1#1206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1060826</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S75，12.13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31538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A048</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1,172,364.00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1#1306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1063173</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S72，13.48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35048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A047</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1,178,221.00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1#1406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1065413</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S69，12.39</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32214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A046</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1,177,627.00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7196" w:type="dxa"/>
            <w:gridSpan w:val="7"/>
            <w:tcBorders>
              <w:top w:val="single" w:color="auto" w:sz="4" w:space="0"/>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磐麓学院共31套</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39,562,280.35 </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龙山湖</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8-102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96.89</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S8,10.07</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642,216.50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21#702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95.14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573507.2</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S33,8.28平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673,507.20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21#1002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95.14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595599.8</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S29，8.02平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695,599.80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21#1102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95.14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602384.5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S28，7.73平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702,384.50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8#1704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97.36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623508</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S66，10.39平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723,508.00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10#104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90.32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529341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S11，17.77平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629,341.00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10#2102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94.83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628979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S61，11.07平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728,979.00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10#702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94.83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563963</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S40,12.88平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663,963.00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29#103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93.18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S23,9.8平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657,192.40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32#1202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78.74</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0</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573,227.40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32#1204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79.18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S67,7.56平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597,417.80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32#1504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79.18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S64,8.02平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605,855.00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32#1704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79.18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S60,8.39平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609,284.90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33#203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97.15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S40,9.27平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681,146.00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33#703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97.15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S53,8.45平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693,381.50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33#803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97.15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S54，9.01平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697,892.00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33#904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98.39</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0</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682,468.80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33#1202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97.91</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0</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688,439.10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33#1502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97.91</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S13，7.88平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719,709.00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34#201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96.98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S33，11.71平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687,129.30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34#204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97.72</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S62，8.36平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681,807.20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34#403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96.5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S52,8.06平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679,776.00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34#1002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97.25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S7，8.61平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703,176.00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34#1401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96.98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S4，12.47平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724,208.10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38#103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84.72</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S10，14.53平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622,620.10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38#904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84.78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S53，6.82平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634,899.40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38#1103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84.72</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S59，9.6平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646,693.60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35#1105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84.72</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S49,6.63平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638,229.10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7196" w:type="dxa"/>
            <w:gridSpan w:val="7"/>
            <w:tcBorders>
              <w:top w:val="single" w:color="auto" w:sz="4" w:space="0"/>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龙山湖共28套</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18,684,051.70 </w:t>
            </w:r>
          </w:p>
        </w:tc>
      </w:tr>
      <w:tr>
        <w:tblPrEx>
          <w:tblCellMar>
            <w:top w:w="0" w:type="dxa"/>
            <w:left w:w="108" w:type="dxa"/>
            <w:bottom w:w="0" w:type="dxa"/>
            <w:right w:w="108" w:type="dxa"/>
          </w:tblCellMar>
        </w:tblPrEx>
        <w:trPr>
          <w:trHeight w:val="560" w:hRule="exac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3"/>
                <w:szCs w:val="13"/>
              </w:rPr>
            </w:pPr>
            <w:r>
              <w:rPr>
                <w:rFonts w:hint="eastAsia" w:ascii="等线" w:hAnsi="等线" w:eastAsia="等线" w:cs="宋体"/>
                <w:color w:val="000000"/>
                <w:kern w:val="0"/>
                <w:sz w:val="13"/>
                <w:szCs w:val="13"/>
              </w:rPr>
              <w:t>浪琴湾</w:t>
            </w:r>
          </w:p>
        </w:tc>
        <w:tc>
          <w:tcPr>
            <w:tcW w:w="1435"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9#301</w:t>
            </w:r>
          </w:p>
        </w:tc>
        <w:tc>
          <w:tcPr>
            <w:tcW w:w="76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162.75</w:t>
            </w:r>
          </w:p>
        </w:tc>
        <w:tc>
          <w:tcPr>
            <w:tcW w:w="108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1091889</w:t>
            </w:r>
          </w:p>
        </w:tc>
        <w:tc>
          <w:tcPr>
            <w:tcW w:w="1281"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177 储，22.49平</w:t>
            </w:r>
          </w:p>
        </w:tc>
        <w:tc>
          <w:tcPr>
            <w:tcW w:w="108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60722</w:t>
            </w:r>
          </w:p>
        </w:tc>
        <w:tc>
          <w:tcPr>
            <w:tcW w:w="74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1,152,611.00 </w:t>
            </w:r>
          </w:p>
        </w:tc>
      </w:tr>
      <w:tr>
        <w:tblPrEx>
          <w:tblCellMar>
            <w:top w:w="0" w:type="dxa"/>
            <w:left w:w="108" w:type="dxa"/>
            <w:bottom w:w="0" w:type="dxa"/>
            <w:right w:w="108" w:type="dxa"/>
          </w:tblCellMar>
        </w:tblPrEx>
        <w:trPr>
          <w:trHeight w:val="710" w:hRule="exac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3"/>
                <w:szCs w:val="13"/>
              </w:rPr>
            </w:pPr>
            <w:r>
              <w:rPr>
                <w:rFonts w:hint="eastAsia" w:ascii="等线" w:hAnsi="等线" w:eastAsia="等线" w:cs="宋体"/>
                <w:color w:val="000000"/>
                <w:kern w:val="0"/>
                <w:sz w:val="13"/>
                <w:szCs w:val="13"/>
              </w:rPr>
              <w:t>潍坊碧桂园</w:t>
            </w:r>
          </w:p>
        </w:tc>
        <w:tc>
          <w:tcPr>
            <w:tcW w:w="1435"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WFFCJ-08z-2-1201</w:t>
            </w:r>
          </w:p>
        </w:tc>
        <w:tc>
          <w:tcPr>
            <w:tcW w:w="76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119.32</w:t>
            </w:r>
          </w:p>
        </w:tc>
        <w:tc>
          <w:tcPr>
            <w:tcW w:w="108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580741</w:t>
            </w:r>
          </w:p>
        </w:tc>
        <w:tc>
          <w:tcPr>
            <w:tcW w:w="1281"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580,741.00 </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明辰湖畔</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4#505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91.6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728953</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221</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808,953.00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4#605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91.6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731701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S57,3.84平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13440</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220</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825,141.00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4#705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91.6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734449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219</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814,449.00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4#805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91.6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737197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S55，4.41平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15435</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218</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832,632.00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4#506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65.02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513528</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S25，3平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10500</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204</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604,028.00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4#606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65.02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515479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203</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595,479.00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4#706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65.02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517429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S41，3.24平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11340</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202</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608,769.00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7196" w:type="dxa"/>
            <w:gridSpan w:val="7"/>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明辰湖畔共7套</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5,089,451.00 </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kern w:val="0"/>
                <w:sz w:val="16"/>
                <w:szCs w:val="16"/>
              </w:rPr>
            </w:pPr>
            <w:r>
              <w:rPr>
                <w:rFonts w:hint="eastAsia" w:ascii="等线" w:hAnsi="等线" w:eastAsia="等线" w:cs="宋体"/>
                <w:kern w:val="0"/>
                <w:sz w:val="16"/>
                <w:szCs w:val="16"/>
              </w:rPr>
              <w:t>烟台旭辉</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A10,23#202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247.18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2093509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2,093,509.00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7196" w:type="dxa"/>
            <w:gridSpan w:val="7"/>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烟台旭辉共一套</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2,093,509.00 </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创新园</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90.45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90.45</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782392.5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782,392.50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183.09</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183.09</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1583728.5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1,583,728.50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71.56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71.56</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618994</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618,994.00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120.23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120.23</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1039989.5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1,039,989.50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120.23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120.23</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1039989.5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1,039,989.50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1907</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134.43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134.43</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1162819.5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1,162,819.50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1908</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90.45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90.45</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782392.5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782,392.50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1909</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676862.5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676,862.50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1910</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676862.5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676,862.50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1911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630538.5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630,538.50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创新园共10套</w:t>
            </w:r>
          </w:p>
        </w:tc>
        <w:tc>
          <w:tcPr>
            <w:tcW w:w="760"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8,994,569.50 </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等线" w:hAnsi="等线" w:eastAsia="等线" w:cs="宋体"/>
                <w:kern w:val="0"/>
                <w:sz w:val="16"/>
                <w:szCs w:val="16"/>
              </w:rPr>
            </w:pPr>
            <w:r>
              <w:rPr>
                <w:rFonts w:hint="eastAsia" w:ascii="等线" w:hAnsi="等线" w:eastAsia="等线" w:cs="宋体"/>
                <w:kern w:val="0"/>
                <w:sz w:val="16"/>
                <w:szCs w:val="16"/>
              </w:rPr>
              <w:t>文涛阁</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1#1单元819</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1#1单元826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1#1单元840</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1#1单元841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1#1单元842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1#1单元847</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1#1单元848</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1#1单元851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371420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371,420.00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1号1单元640室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1号1单元641室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1号1单元642室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1号1单元408室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45.66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319620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319,620.00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1号1单元409室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74.34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520380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520,380.00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318990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318,990.00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1号1单元425室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1号1单元426室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1号1单元428室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1号1单元429室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1号1单元433室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1号1单元434室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1号1单元435室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1号1单元437室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1号1单元439室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74.34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520380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520,380.00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318990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318,990.00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45.66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319620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319,620.00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1号1单元451室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49.44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346080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346,080.00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1号1单元903室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371420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371,420.00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1号1单元909室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74.34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520380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520,380.00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318990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318,990.00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69.85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488950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488,950.00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74.34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520380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520,380.00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318990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318,990.00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1号1单元950室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1号1单元951室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371420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371,420.00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1号1单元952室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1号1单元953室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549500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549,500.00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1号1单元954室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48.86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342020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342,020.00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1号1单元503室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49.44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346080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346,080.00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1号1单元504室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45.66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319620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319,620.00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1号1单元507室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1号1单元508室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1号1单元509室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74.34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520380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520,380.00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318990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318,990.00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1号1单元533室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1号1单元534室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1号1单元535室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文涛阁共117套</w:t>
            </w:r>
          </w:p>
        </w:tc>
        <w:tc>
          <w:tcPr>
            <w:tcW w:w="760"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080"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281"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080"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740"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820"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565"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39,780,230.00 </w:t>
            </w:r>
          </w:p>
        </w:tc>
      </w:tr>
    </w:tbl>
    <w:p>
      <w:pPr>
        <w:ind w:firstLine="4200" w:firstLineChars="2000"/>
        <w:rPr>
          <w:rFonts w:asciiTheme="minorEastAsia" w:hAnsiTheme="minorEastAsia" w:cstheme="minorEastAsia"/>
        </w:rPr>
      </w:pPr>
    </w:p>
    <w:p>
      <w:pPr>
        <w:ind w:firstLine="4200" w:firstLineChars="2000"/>
        <w:rPr>
          <w:rFonts w:asciiTheme="minorEastAsia" w:hAnsiTheme="minorEastAsia" w:cstheme="minorEastAsia"/>
        </w:rPr>
      </w:pPr>
    </w:p>
    <w:p>
      <w:pPr>
        <w:ind w:firstLine="4200" w:firstLineChars="2000"/>
        <w:rPr>
          <w:rFonts w:asciiTheme="minorEastAsia" w:hAnsiTheme="minorEastAsia" w:cstheme="minorEastAsia"/>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jUxMTQ1YTYxNDE2NDRlYjM3YjZiMmJmNmM0OTA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4C04528"/>
    <w:rsid w:val="08476E13"/>
    <w:rsid w:val="0CEC47F4"/>
    <w:rsid w:val="0F655B03"/>
    <w:rsid w:val="105F618D"/>
    <w:rsid w:val="11CE46B3"/>
    <w:rsid w:val="12EE14AA"/>
    <w:rsid w:val="16601204"/>
    <w:rsid w:val="17CC1D05"/>
    <w:rsid w:val="18393FA5"/>
    <w:rsid w:val="18AD5B27"/>
    <w:rsid w:val="2AB762F1"/>
    <w:rsid w:val="2AD26F3B"/>
    <w:rsid w:val="30B654E5"/>
    <w:rsid w:val="3A2D7B59"/>
    <w:rsid w:val="43C85208"/>
    <w:rsid w:val="44867803"/>
    <w:rsid w:val="45FC1827"/>
    <w:rsid w:val="47C00695"/>
    <w:rsid w:val="48874259"/>
    <w:rsid w:val="49044A24"/>
    <w:rsid w:val="490F017A"/>
    <w:rsid w:val="4C237E9E"/>
    <w:rsid w:val="56F578F7"/>
    <w:rsid w:val="5D093E95"/>
    <w:rsid w:val="5FA38F79"/>
    <w:rsid w:val="657C52D0"/>
    <w:rsid w:val="6D1E2E62"/>
    <w:rsid w:val="709C440A"/>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2"/>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FollowedHyperlink"/>
    <w:basedOn w:val="5"/>
    <w:semiHidden/>
    <w:unhideWhenUsed/>
    <w:uiPriority w:val="99"/>
    <w:rPr>
      <w:color w:val="377CBD"/>
      <w:u w:val="single"/>
    </w:rPr>
  </w:style>
  <w:style w:type="character" w:styleId="7">
    <w:name w:val="Emphasis"/>
    <w:basedOn w:val="5"/>
    <w:qFormat/>
    <w:uiPriority w:val="0"/>
    <w:rPr>
      <w:i/>
      <w:iCs/>
    </w:rPr>
  </w:style>
  <w:style w:type="character" w:styleId="8">
    <w:name w:val="HTML Definition"/>
    <w:basedOn w:val="5"/>
    <w:semiHidden/>
    <w:unhideWhenUsed/>
    <w:uiPriority w:val="99"/>
    <w:rPr>
      <w:i/>
      <w:iCs/>
    </w:rPr>
  </w:style>
  <w:style w:type="character" w:styleId="9">
    <w:name w:val="HTML Variable"/>
    <w:basedOn w:val="5"/>
    <w:semiHidden/>
    <w:unhideWhenUsed/>
    <w:uiPriority w:val="99"/>
    <w:rPr>
      <w:i/>
      <w:iCs/>
    </w:rPr>
  </w:style>
  <w:style w:type="character" w:styleId="10">
    <w:name w:val="Hyperlink"/>
    <w:basedOn w:val="5"/>
    <w:qFormat/>
    <w:uiPriority w:val="0"/>
    <w:rPr>
      <w:color w:val="0000FF"/>
      <w:u w:val="single"/>
    </w:rPr>
  </w:style>
  <w:style w:type="character" w:styleId="11">
    <w:name w:val="HTML Cite"/>
    <w:basedOn w:val="5"/>
    <w:semiHidden/>
    <w:unhideWhenUsed/>
    <w:uiPriority w:val="99"/>
    <w:rPr>
      <w:i/>
      <w:iCs/>
    </w:rPr>
  </w:style>
  <w:style w:type="character" w:customStyle="1" w:styleId="12">
    <w:name w:val="页眉 Char"/>
    <w:basedOn w:val="5"/>
    <w:link w:val="3"/>
    <w:qFormat/>
    <w:uiPriority w:val="0"/>
    <w:rPr>
      <w:kern w:val="2"/>
      <w:sz w:val="18"/>
      <w:szCs w:val="18"/>
    </w:rPr>
  </w:style>
  <w:style w:type="character" w:customStyle="1" w:styleId="13">
    <w:name w:val="页脚 Char"/>
    <w:basedOn w:val="5"/>
    <w:link w:val="2"/>
    <w:qFormat/>
    <w:uiPriority w:val="0"/>
    <w:rPr>
      <w:kern w:val="2"/>
      <w:sz w:val="18"/>
      <w:szCs w:val="18"/>
    </w:rPr>
  </w:style>
  <w:style w:type="character" w:customStyle="1" w:styleId="14">
    <w:name w:val="font21"/>
    <w:qFormat/>
    <w:uiPriority w:val="0"/>
    <w:rPr>
      <w:rFonts w:hint="eastAsia" w:ascii="宋体" w:hAnsi="宋体" w:eastAsia="宋体" w:cs="宋体"/>
      <w:b/>
      <w:bCs/>
      <w:color w:val="FF0000"/>
      <w:sz w:val="22"/>
      <w:szCs w:val="22"/>
      <w:u w:val="none"/>
    </w:rPr>
  </w:style>
  <w:style w:type="paragraph" w:customStyle="1" w:styleId="15">
    <w:name w:val="列表段落1"/>
    <w:basedOn w:val="1"/>
    <w:qFormat/>
    <w:uiPriority w:val="34"/>
    <w:pPr>
      <w:ind w:firstLine="420" w:firstLineChars="200"/>
    </w:pPr>
  </w:style>
  <w:style w:type="character" w:customStyle="1" w:styleId="16">
    <w:name w:val="spanlabel"/>
    <w:basedOn w:val="5"/>
    <w:autoRedefine/>
    <w:qFormat/>
    <w:uiPriority w:val="0"/>
    <w:rPr>
      <w:b/>
      <w:bCs/>
      <w:color w:val="000000"/>
      <w:bdr w:val="single" w:color="95B8E7" w:sz="4" w:space="0"/>
      <w:shd w:val="clear" w:fill="E0ECFF"/>
    </w:rPr>
  </w:style>
  <w:style w:type="character" w:customStyle="1" w:styleId="17">
    <w:name w:val="checkbox"/>
    <w:basedOn w:val="5"/>
    <w:uiPriority w:val="0"/>
    <w:rPr>
      <w:bdr w:val="single" w:color="FFAB3F" w:sz="12" w:space="0"/>
    </w:rPr>
  </w:style>
  <w:style w:type="character" w:customStyle="1" w:styleId="18">
    <w:name w:val="toggl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2173</Words>
  <Characters>4711</Characters>
  <Lines>44</Lines>
  <Paragraphs>12</Paragraphs>
  <TotalTime>2</TotalTime>
  <ScaleCrop>false</ScaleCrop>
  <LinksUpToDate>false</LinksUpToDate>
  <CharactersWithSpaces>5039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不忘初心 方得始终</cp:lastModifiedBy>
  <cp:lastPrinted>2023-08-05T00:47:00Z</cp:lastPrinted>
  <dcterms:modified xsi:type="dcterms:W3CDTF">2024-04-03T08:47:12Z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D9AE4828053C431D9C66CC4573C3E83D_13</vt:lpwstr>
  </property>
</Properties>
</file>