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sz w:val="32"/>
          <w:szCs w:val="32"/>
        </w:rPr>
      </w:pPr>
      <w:bookmarkStart w:id="0" w:name="_GoBack"/>
      <w:bookmarkEnd w:id="0"/>
      <w:r>
        <w:rPr>
          <w:rFonts w:hint="eastAsia" w:asciiTheme="minorEastAsia" w:hAnsiTheme="minorEastAsia" w:cstheme="minorEastAsia"/>
          <w:b/>
          <w:sz w:val="32"/>
          <w:szCs w:val="32"/>
        </w:rPr>
        <w:t>补充协议</w:t>
      </w:r>
    </w:p>
    <w:p>
      <w:pPr>
        <w:spacing w:line="500" w:lineRule="exact"/>
        <w:rPr>
          <w:rFonts w:asciiTheme="minorEastAsia" w:hAnsiTheme="minorEastAsia" w:cstheme="minorEastAsia"/>
          <w:b/>
          <w:sz w:val="28"/>
          <w:szCs w:val="28"/>
        </w:rPr>
      </w:pPr>
    </w:p>
    <w:p>
      <w:pPr>
        <w:spacing w:line="500" w:lineRule="exact"/>
        <w:rPr>
          <w:rFonts w:hint="eastAsia" w:asciiTheme="minorEastAsia" w:hAnsiTheme="minorEastAsia" w:eastAsiaTheme="minorEastAsia" w:cstheme="minorEastAsia"/>
          <w:b/>
          <w:sz w:val="24"/>
          <w:lang w:eastAsia="zh-CN"/>
        </w:rPr>
      </w:pPr>
      <w:r>
        <w:rPr>
          <w:rFonts w:hint="eastAsia" w:asciiTheme="minorEastAsia" w:hAnsiTheme="minorEastAsia" w:cstheme="minorEastAsia"/>
          <w:b/>
          <w:sz w:val="24"/>
        </w:rPr>
        <w:t>买受方（甲方）：威海建设集团股份有限公司</w:t>
      </w:r>
      <w:r>
        <w:rPr>
          <w:rFonts w:hint="eastAsia" w:asciiTheme="minorEastAsia" w:hAnsiTheme="minorEastAsia" w:cstheme="minorEastAsia"/>
          <w:b/>
          <w:sz w:val="24"/>
          <w:lang w:eastAsia="zh-CN"/>
        </w:rPr>
        <w:t>经区分公司</w:t>
      </w:r>
    </w:p>
    <w:p>
      <w:pPr>
        <w:spacing w:line="500" w:lineRule="exact"/>
        <w:rPr>
          <w:rFonts w:asciiTheme="minorEastAsia" w:hAnsiTheme="minorEastAsia" w:cstheme="minorEastAsia"/>
          <w:b/>
          <w:sz w:val="24"/>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rPr>
        <w:t xml:space="preserve">出卖方（乙方）：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日签订的编号为</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rPr>
        <w:t>的基础上，本着平等自愿、诚实守信原则，经友好协商一致，达成以下补充协议：</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w:t>
      </w:r>
      <w:r>
        <w:rPr>
          <w:rFonts w:hint="eastAsia" w:asciiTheme="minorEastAsia" w:hAnsiTheme="minorEastAsia" w:cstheme="minorEastAsia"/>
          <w:sz w:val="24"/>
          <w:highlight w:val="none"/>
        </w:rPr>
        <w:t>确认的同期抵顶物资和价格为准。甲方对上述以物抵顶方式及《抵顶名录》享有最终解释权。</w:t>
      </w:r>
      <w:r>
        <w:rPr>
          <w:rFonts w:hint="eastAsia"/>
          <w:sz w:val="24"/>
          <w:highlight w:val="none"/>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highlight w:val="none"/>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w:t>
      </w:r>
      <w:r>
        <w:rPr>
          <w:rFonts w:hint="eastAsia" w:asciiTheme="minorEastAsia" w:hAnsiTheme="minorEastAsia" w:cstheme="minorEastAsia"/>
          <w:sz w:val="24"/>
          <w:highlight w:val="none"/>
        </w:rPr>
        <w:t>方有权从材料款/工程款中予以扣除。</w:t>
      </w:r>
    </w:p>
    <w:p>
      <w:pPr>
        <w:spacing w:line="500" w:lineRule="exact"/>
        <w:ind w:firstLine="480" w:firstLineChars="200"/>
        <w:rPr>
          <w:sz w:val="24"/>
          <w:highlight w:val="none"/>
        </w:rPr>
      </w:pPr>
      <w:r>
        <w:rPr>
          <w:rFonts w:hint="eastAsia" w:asciiTheme="minorEastAsia" w:hAnsiTheme="minorEastAsia" w:cstheme="minorEastAsia"/>
          <w:sz w:val="24"/>
          <w:highlight w:val="none"/>
        </w:rPr>
        <w:t>（3）</w:t>
      </w:r>
      <w:r>
        <w:rPr>
          <w:rFonts w:hint="eastAsia"/>
          <w:sz w:val="24"/>
          <w:highlight w:val="none"/>
        </w:rPr>
        <w:t>如甲方违反合同约定，未按时向乙方支付材料款，双方同意竣工验收且甲方与发包人竣工结算审定后两年内未支付部分的材料款免息，两年后无正当理由仍未支付的，甲方按年利率2%向乙方支付拖欠部分材料款的利息。</w:t>
      </w:r>
    </w:p>
    <w:p>
      <w:pPr>
        <w:spacing w:line="50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hint="eastAsia" w:eastAsia="宋体" w:asciiTheme="minorEastAsia" w:hAnsiTheme="minorEastAsia" w:cstheme="minorEastAsia"/>
          <w:sz w:val="24"/>
          <w:highlight w:val="yellow"/>
          <w:lang w:val="en-US" w:eastAsia="zh-CN"/>
        </w:rPr>
      </w:pP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5</w:t>
      </w:r>
      <w:r>
        <w:rPr>
          <w:rFonts w:hint="eastAsia" w:asciiTheme="minorEastAsia" w:hAnsiTheme="minorEastAsia" w:cstheme="minorEastAsia"/>
          <w:sz w:val="24"/>
          <w:highlight w:val="yellow"/>
          <w:lang w:eastAsia="zh-CN"/>
        </w:rPr>
        <w:t>）</w:t>
      </w:r>
      <w:r>
        <w:rPr>
          <w:rFonts w:hint="eastAsia" w:asciiTheme="minorEastAsia" w:hAnsiTheme="minorEastAsia" w:cstheme="minorEastAsia"/>
          <w:sz w:val="24"/>
          <w:highlight w:val="yellow"/>
          <w:lang w:val="en-US" w:eastAsia="zh-CN"/>
        </w:rPr>
        <w:t>如乙方逾期交货影响甲方施工进度，</w:t>
      </w:r>
      <w:r>
        <w:rPr>
          <w:rFonts w:hint="eastAsia" w:asciiTheme="minorEastAsia" w:hAnsiTheme="minorEastAsia" w:cstheme="minorEastAsia"/>
          <w:sz w:val="24"/>
          <w:highlight w:val="yellow"/>
        </w:rPr>
        <w:t>须承担违约责任，按合同总结算价款30%支付违约金</w:t>
      </w:r>
      <w:r>
        <w:rPr>
          <w:rFonts w:ascii="宋体" w:hAnsi="宋体" w:eastAsia="宋体" w:cs="宋体"/>
          <w:sz w:val="24"/>
          <w:szCs w:val="24"/>
          <w:highlight w:val="yellow"/>
        </w:rPr>
        <w:t>以及赔偿甲方因此遭受的损失,甲方有权直接从材料款中扣除违约金及赔偿款。同时甲方保留向乙方进一步索赔的权利</w:t>
      </w:r>
      <w:r>
        <w:rPr>
          <w:rFonts w:hint="eastAsia" w:ascii="宋体" w:hAnsi="宋体" w:eastAsia="宋体" w:cs="宋体"/>
          <w:sz w:val="24"/>
          <w:szCs w:val="24"/>
          <w:highlight w:val="yellow"/>
          <w:lang w:eastAsia="zh-CN"/>
        </w:rPr>
        <w:t>。</w:t>
      </w:r>
    </w:p>
    <w:p>
      <w:pPr>
        <w:spacing w:line="480" w:lineRule="exact"/>
        <w:ind w:firstLine="480" w:firstLineChars="200"/>
        <w:jc w:val="left"/>
        <w:rPr>
          <w:rFonts w:hint="default" w:ascii="宋体" w:hAnsi="宋体" w:cs="宋体"/>
          <w:sz w:val="24"/>
          <w:highlight w:val="yellow"/>
          <w:lang w:val="en-US" w:eastAsia="zh-CN"/>
        </w:rPr>
      </w:pPr>
      <w:r>
        <w:rPr>
          <w:rFonts w:hint="eastAsia" w:ascii="宋体" w:hAnsi="宋体" w:cs="宋体"/>
          <w:sz w:val="24"/>
          <w:highlight w:val="yellow"/>
          <w:lang w:val="en-US" w:eastAsia="zh-CN"/>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4</w:t>
      </w:r>
      <w:r>
        <w:rPr>
          <w:rFonts w:hint="eastAsia" w:asciiTheme="minorEastAsia" w:hAnsiTheme="minorEastAsia" w:cstheme="minorEastAsia"/>
          <w:sz w:val="24"/>
        </w:rPr>
        <w:t>、上述条款均是乙方充分考虑当前建筑市场形势，本着双方共同发展、共同应对的原则，系双方真实意思表示、共同协商的结果，乙方自愿选择并遵守。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、本协议与编号为</w:t>
      </w:r>
      <w:r>
        <w:rPr>
          <w:rFonts w:hint="eastAsia" w:asciiTheme="minorEastAsia" w:hAnsiTheme="minorEastAsia" w:cstheme="minorEastAsia"/>
          <w:sz w:val="24"/>
          <w:u w:val="single"/>
        </w:rPr>
        <w:t xml:space="preserve">            《   合同》</w:t>
      </w:r>
      <w:r>
        <w:rPr>
          <w:rFonts w:hint="eastAsia" w:asciiTheme="minorEastAsia" w:hAnsiTheme="minorEastAsia" w:cstheme="minorEastAsia"/>
          <w:sz w:val="24"/>
        </w:rPr>
        <w:t>不一致之处，按本协议条款执行。本协议一式2份，双方各执1份，均具有同等法律效力，自双方签字或盖章之日起生效。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甲方： （签字盖章）                  乙方：（签字盖章）</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337" w:tblpY="-4166"/>
        <w:tblOverlap w:val="never"/>
        <w:tblW w:w="10040" w:type="dxa"/>
        <w:tblInd w:w="0" w:type="dxa"/>
        <w:tblLayout w:type="autofit"/>
        <w:tblCellMar>
          <w:top w:w="0" w:type="dxa"/>
          <w:left w:w="108" w:type="dxa"/>
          <w:bottom w:w="0" w:type="dxa"/>
          <w:right w:w="108" w:type="dxa"/>
        </w:tblCellMar>
      </w:tblPr>
      <w:tblGrid>
        <w:gridCol w:w="767"/>
        <w:gridCol w:w="1657"/>
        <w:gridCol w:w="1797"/>
        <w:gridCol w:w="814"/>
        <w:gridCol w:w="1657"/>
        <w:gridCol w:w="3348"/>
      </w:tblGrid>
      <w:tr>
        <w:tblPrEx>
          <w:tblCellMar>
            <w:top w:w="0" w:type="dxa"/>
            <w:left w:w="108" w:type="dxa"/>
            <w:bottom w:w="0" w:type="dxa"/>
            <w:right w:w="108" w:type="dxa"/>
          </w:tblCellMar>
        </w:tblPrEx>
        <w:trPr>
          <w:trHeight w:val="581" w:hRule="atLeast"/>
        </w:trPr>
        <w:tc>
          <w:tcPr>
            <w:tcW w:w="10040" w:type="dxa"/>
            <w:gridSpan w:val="6"/>
            <w:tcBorders>
              <w:top w:val="nil"/>
              <w:left w:val="nil"/>
              <w:bottom w:val="nil"/>
              <w:right w:val="nil"/>
            </w:tcBorders>
            <w:noWrap/>
            <w:vAlign w:val="center"/>
          </w:tcPr>
          <w:p>
            <w:pPr>
              <w:widowControl/>
              <w:jc w:val="center"/>
              <w:textAlignment w:val="center"/>
              <w:rPr>
                <w:rFonts w:asciiTheme="minorEastAsia" w:hAnsiTheme="minorEastAsia" w:cstheme="minorEastAsia"/>
                <w:b/>
                <w:bCs/>
                <w:color w:val="000000"/>
                <w:kern w:val="0"/>
                <w:sz w:val="28"/>
                <w:szCs w:val="28"/>
              </w:rPr>
            </w:pPr>
          </w:p>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序号</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型号</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单位</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单价（元）</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备注</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188-880 </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养生品礼盒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西洋参片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g</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2-5</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根据切片大小、礼盒形式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月饼</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礼盒</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粽子</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盒</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150-900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根据口味、礼盒形式</w:t>
            </w: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6</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智力干红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7</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泸州酱香</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国领天酱</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9</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卡特尔干红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688</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10</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白金酒</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蓝莓干红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12</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西格干红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13</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高端进口干红</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880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14</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酒水</w:t>
            </w:r>
          </w:p>
        </w:tc>
        <w:tc>
          <w:tcPr>
            <w:tcW w:w="1797"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茅台镇</w:t>
            </w:r>
          </w:p>
        </w:tc>
        <w:tc>
          <w:tcPr>
            <w:tcW w:w="814"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瓶</w:t>
            </w:r>
          </w:p>
        </w:tc>
        <w:tc>
          <w:tcPr>
            <w:tcW w:w="165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500</w:t>
            </w:r>
          </w:p>
        </w:tc>
        <w:tc>
          <w:tcPr>
            <w:tcW w:w="33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r>
      <w:tr>
        <w:tblPrEx>
          <w:tblCellMar>
            <w:top w:w="0" w:type="dxa"/>
            <w:left w:w="108" w:type="dxa"/>
            <w:bottom w:w="0" w:type="dxa"/>
            <w:right w:w="108" w:type="dxa"/>
          </w:tblCellMar>
        </w:tblPrEx>
        <w:trPr>
          <w:trHeight w:val="336" w:hRule="atLeast"/>
        </w:trPr>
        <w:tc>
          <w:tcPr>
            <w:tcW w:w="4221" w:type="dxa"/>
            <w:gridSpan w:val="3"/>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5005" w:type="dxa"/>
            <w:gridSpan w:val="2"/>
            <w:tcBorders>
              <w:top w:val="single" w:color="000000" w:sz="4" w:space="0"/>
              <w:left w:val="nil"/>
              <w:bottom w:val="nil"/>
              <w:right w:val="nil"/>
            </w:tcBorders>
            <w:noWrap/>
            <w:vAlign w:val="center"/>
          </w:tcPr>
          <w:p>
            <w:pPr>
              <w:widowControl/>
              <w:jc w:val="left"/>
              <w:textAlignment w:val="center"/>
              <w:rPr>
                <w:rFonts w:asciiTheme="minorEastAsia" w:hAnsiTheme="minorEastAsia" w:cstheme="minorEastAsia"/>
                <w:color w:val="000000"/>
                <w:sz w:val="22"/>
                <w:szCs w:val="22"/>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3149"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 xml:space="preserve">  乙方（盖章）：</w:t>
            </w:r>
          </w:p>
        </w:tc>
        <w:tc>
          <w:tcPr>
            <w:tcW w:w="1248" w:type="dxa"/>
            <w:tcBorders>
              <w:top w:val="nil"/>
              <w:left w:val="nil"/>
              <w:bottom w:val="nil"/>
              <w:right w:val="nil"/>
            </w:tcBorders>
            <w:noWrap/>
            <w:vAlign w:val="center"/>
          </w:tcPr>
          <w:p>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W w:w="10183" w:type="dxa"/>
        <w:tblInd w:w="-221" w:type="dxa"/>
        <w:tblLayout w:type="fixed"/>
        <w:tblCellMar>
          <w:top w:w="0" w:type="dxa"/>
          <w:left w:w="108" w:type="dxa"/>
          <w:bottom w:w="0" w:type="dxa"/>
          <w:right w:w="108" w:type="dxa"/>
        </w:tblCellMar>
      </w:tblPr>
      <w:tblGrid>
        <w:gridCol w:w="692"/>
        <w:gridCol w:w="1416"/>
        <w:gridCol w:w="1041"/>
        <w:gridCol w:w="1687"/>
        <w:gridCol w:w="1248"/>
        <w:gridCol w:w="1269"/>
        <w:gridCol w:w="1041"/>
        <w:gridCol w:w="1789"/>
      </w:tblGrid>
      <w:tr>
        <w:trPr>
          <w:trHeight w:val="473" w:hRule="atLeast"/>
        </w:trPr>
        <w:tc>
          <w:tcPr>
            <w:tcW w:w="10183" w:type="dxa"/>
            <w:gridSpan w:val="8"/>
            <w:tcBorders>
              <w:top w:val="nil"/>
              <w:left w:val="nil"/>
              <w:bottom w:val="single" w:color="000000" w:sz="4" w:space="0"/>
              <w:right w:val="nil"/>
            </w:tcBorders>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抵顶名录-房产</w:t>
            </w:r>
          </w:p>
        </w:tc>
      </w:tr>
      <w:tr>
        <w:tblPrEx>
          <w:tblCellMar>
            <w:top w:w="0" w:type="dxa"/>
            <w:left w:w="108" w:type="dxa"/>
            <w:bottom w:w="0" w:type="dxa"/>
            <w:right w:w="108" w:type="dxa"/>
          </w:tblCellMar>
        </w:tblPrEx>
        <w:trPr>
          <w:trHeight w:val="588" w:hRule="atLeast"/>
        </w:trPr>
        <w:tc>
          <w:tcPr>
            <w:tcW w:w="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名称</w:t>
            </w:r>
          </w:p>
        </w:tc>
        <w:tc>
          <w:tcPr>
            <w:tcW w:w="1416" w:type="dxa"/>
            <w:tcBorders>
              <w:top w:val="single" w:color="000000" w:sz="4" w:space="0"/>
              <w:left w:val="single" w:color="000000" w:sz="4" w:space="0"/>
              <w:bottom w:val="single" w:color="000000" w:sz="4" w:space="0"/>
              <w:right w:val="single" w:color="000000" w:sz="4" w:space="0"/>
            </w:tcBorders>
            <w:noWrap/>
          </w:tcPr>
          <w:p>
            <w:pPr>
              <w:widowControl/>
              <w:jc w:val="center"/>
              <w:textAlignment w:val="top"/>
              <w:rPr>
                <w:rFonts w:asciiTheme="minorEastAsia" w:hAnsiTheme="minorEastAsia" w:cstheme="minorEastAsia"/>
                <w:color w:val="000000"/>
                <w:sz w:val="24"/>
              </w:rPr>
            </w:pPr>
            <w:r>
              <w:rPr>
                <w:rFonts w:hint="eastAsia" w:asciiTheme="minorEastAsia" w:hAnsiTheme="minorEastAsia" w:cstheme="minorEastAsia"/>
                <w:color w:val="000000"/>
                <w:kern w:val="0"/>
                <w:sz w:val="24"/>
              </w:rPr>
              <w:t>楼号房号</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房产面积</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草厦信息</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草厦金额</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车位信息</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车位金额</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合计金额</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广安磐麓学院</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S21,17.32平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45032</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2,116,377.42 </w:t>
            </w:r>
          </w:p>
        </w:tc>
      </w:tr>
      <w:tr>
        <w:tblPrEx>
          <w:tblCellMar>
            <w:top w:w="0" w:type="dxa"/>
            <w:left w:w="108" w:type="dxa"/>
            <w:bottom w:w="0" w:type="dxa"/>
            <w:right w:w="108" w:type="dxa"/>
          </w:tblCellMar>
        </w:tblPrEx>
        <w:trPr>
          <w:trHeight w:val="38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5#404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182.38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2"/>
                <w:szCs w:val="22"/>
              </w:rPr>
              <w:t>S27 11.68平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30368</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2,065,237.42 </w:t>
            </w:r>
          </w:p>
        </w:tc>
      </w:tr>
      <w:tr>
        <w:tblPrEx>
          <w:tblCellMar>
            <w:top w:w="0" w:type="dxa"/>
            <w:left w:w="108" w:type="dxa"/>
            <w:bottom w:w="0" w:type="dxa"/>
            <w:right w:w="108" w:type="dxa"/>
          </w:tblCellMar>
        </w:tblPrEx>
        <w:trPr>
          <w:trHeight w:val="47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4,181,614.84 </w:t>
            </w:r>
          </w:p>
        </w:tc>
      </w:tr>
      <w:tr>
        <w:tblPrEx>
          <w:tblCellMar>
            <w:top w:w="0" w:type="dxa"/>
            <w:left w:w="108" w:type="dxa"/>
            <w:bottom w:w="0" w:type="dxa"/>
            <w:right w:w="108" w:type="dxa"/>
          </w:tblCellMar>
        </w:tblPrEx>
        <w:trPr>
          <w:trHeight w:val="382" w:hRule="atLeast"/>
        </w:trPr>
        <w:tc>
          <w:tcPr>
            <w:tcW w:w="69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龙山湖</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97.36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S66，10.39平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723,508.00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10#2102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S61，11.07平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728,979.00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94.83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S40,12.88平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663,963.00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93.53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659,180.40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29#103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93.18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S23,9.8平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657,192.40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21#802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S32，8.28平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681,118.40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21#902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S30，7.63平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686,877.10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10#104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90.32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S11，17.77平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629,341.00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S33,8.28平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673,507.20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32#1704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79.18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S60,8.39平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609,284.90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33#203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S40,9.27平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681,146.00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33#703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S53,8.45平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693,381.50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33#803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97.15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S54，9.01平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697,892.00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98.39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682,468.80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688,439.10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33#1502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S13，7.88平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719,709.00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S33，11.71平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687,129.30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34#204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S62，8.36平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681,807.20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34#403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S52,8.06平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679,776.00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S7，8.61平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703,176.00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S29，8.02平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695,599.80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96.98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S4，12.47平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724,208.10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97.25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S15，14.33平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736,983.00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S10，14.53平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622,620.10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S53，6.82平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634,899.40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38#1103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S59，9.6平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646,693.60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35#1105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84.72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S49,6.63平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638,229.10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8-102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96.89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S8,10.07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642,216.50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21#1102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95.14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S28，7.73平</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702,384.50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9-2401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99.87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744,161.50 </w:t>
            </w:r>
          </w:p>
        </w:tc>
      </w:tr>
      <w:tr>
        <w:tblPrEx>
          <w:tblCellMar>
            <w:top w:w="0" w:type="dxa"/>
            <w:left w:w="108" w:type="dxa"/>
            <w:bottom w:w="0" w:type="dxa"/>
            <w:right w:w="108" w:type="dxa"/>
          </w:tblCellMar>
        </w:tblPrEx>
        <w:trPr>
          <w:trHeight w:val="382" w:hRule="atLeast"/>
        </w:trPr>
        <w:tc>
          <w:tcPr>
            <w:tcW w:w="69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37套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20,415,871.90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烟台旭辉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A10,23#202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247.18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2,093,509.00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创新园A1号楼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183.09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1,583,728.50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1904</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71.56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618,994.00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1,039,989.50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134.43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1,162,819.50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90.45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782,392.50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676,862.50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1911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78.25</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630,538.50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10套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8,994,569.50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新悦春辉</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9#1702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120.29</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S58</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D020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1,239,548.00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6#1302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139.76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S7</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31000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100000</w:t>
            </w: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1,430,514.00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2,670,062.00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0"/>
                <w:szCs w:val="20"/>
              </w:rPr>
              <w:t>荣成湖畔林居</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11#603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205,902.00 </w:t>
            </w:r>
          </w:p>
        </w:tc>
      </w:tr>
      <w:tr>
        <w:tblPrEx>
          <w:tblCellMar>
            <w:top w:w="0" w:type="dxa"/>
            <w:left w:w="108" w:type="dxa"/>
            <w:bottom w:w="0" w:type="dxa"/>
            <w:right w:w="108" w:type="dxa"/>
          </w:tblCellMar>
        </w:tblPrEx>
        <w:trPr>
          <w:trHeight w:val="90"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2套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411,804.00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鼎顺商务楼</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40.73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474,830.00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40.82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417,629.00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58.58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633,894.00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144.68</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1,665,267.00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w:t>
            </w:r>
            <w:r>
              <w:rPr>
                <w:rFonts w:hint="eastAsia" w:asciiTheme="minorEastAsia" w:hAnsiTheme="minorEastAsia" w:cstheme="minorEastAsia"/>
                <w:b/>
                <w:bCs/>
                <w:color w:val="000000"/>
                <w:kern w:val="0"/>
                <w:sz w:val="22"/>
                <w:szCs w:val="22"/>
              </w:rPr>
              <w:t>3,191,620.00</w:t>
            </w:r>
            <w:r>
              <w:rPr>
                <w:rFonts w:hint="eastAsia" w:asciiTheme="minorEastAsia" w:hAnsiTheme="minorEastAsia" w:cstheme="minorEastAsia"/>
                <w:b/>
                <w:bCs/>
                <w:color w:val="000000"/>
                <w:kern w:val="0"/>
                <w:sz w:val="24"/>
              </w:rPr>
              <w:t xml:space="preserve">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青岛中路87#</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3015A003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16.3</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204,526.00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3016A005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34.54</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376,431.00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3017A006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15.41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179,422.00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3018A007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73,073.00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3020A009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145,041.00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3021A010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3022A011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243,462.00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3023A012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136,941.00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3024A013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3025A015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143,086.00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3026A016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255,788.00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3027A017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243,303.00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3028A018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136,763.00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3029A019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144,106.00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3043A035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3044A036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167,635.00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3051A053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3052A055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3053A056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143,256.00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3054A057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146,373.00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3055A058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152,467.00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3010C001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393,920.00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3011C002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3012C003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3086C005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271,382.00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3087C006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275,040.00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3088C007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280,362.00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3089C008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282,191.00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3090C009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283,854.00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3097C059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202,524.00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3085C061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3093C062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121,844.00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3092C063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3112A106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190,143.00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3113A107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183,409.00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3115A109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156,051.00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3114A110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3126A111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3125A112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137,739.00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3128A117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212,715.00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3127A118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148,899.00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3139A119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166,375.00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3059A062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154,413.00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3060A063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157,630.00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3061A065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151,324.00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3062A066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148,099.00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3083A089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218,929.00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3098A090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224,506.00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3056A059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150,333.00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3042A033</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319,124.00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3196C021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247,603.00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3243C022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287,389.00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3166C026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687"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179,363.00 </w:t>
            </w:r>
          </w:p>
        </w:tc>
      </w:tr>
      <w:tr>
        <w:tblPrEx>
          <w:tblCellMar>
            <w:top w:w="0" w:type="dxa"/>
            <w:left w:w="108" w:type="dxa"/>
            <w:bottom w:w="0" w:type="dxa"/>
            <w:right w:w="108" w:type="dxa"/>
          </w:tblCellMar>
        </w:tblPrEx>
        <w:trPr>
          <w:trHeight w:val="364"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53套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2"/>
                <w:szCs w:val="22"/>
              </w:rPr>
              <w:t xml:space="preserve">10,434,976.00 </w:t>
            </w:r>
          </w:p>
        </w:tc>
      </w:tr>
      <w:tr>
        <w:tblPrEx>
          <w:tblCellMar>
            <w:top w:w="0" w:type="dxa"/>
            <w:left w:w="108" w:type="dxa"/>
            <w:bottom w:w="0" w:type="dxa"/>
            <w:right w:w="108" w:type="dxa"/>
          </w:tblCellMar>
        </w:tblPrEx>
        <w:trPr>
          <w:trHeight w:val="382" w:hRule="atLeast"/>
        </w:trPr>
        <w:tc>
          <w:tcPr>
            <w:tcW w:w="6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家家悦文涛阁</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1#1单元819</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1#1单元826</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1#1单元840</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40.91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286370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286,370.00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1#1单元842</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53.02</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371140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371,140.00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1#1单元845</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48.61</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340270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340,270.00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1#1单元847</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1#1单元848</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48.7</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340900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340,900.00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kern w:val="0"/>
                <w:sz w:val="22"/>
                <w:szCs w:val="22"/>
              </w:rPr>
              <w:t>1#1单元851</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53.06</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371420</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color w:val="000000"/>
                <w:sz w:val="24"/>
              </w:rPr>
            </w:pPr>
            <w:r>
              <w:rPr>
                <w:rFonts w:hint="eastAsia" w:asciiTheme="minorEastAsia" w:hAnsiTheme="minorEastAsia" w:cstheme="minorEastAsia"/>
                <w:color w:val="000000"/>
                <w:kern w:val="0"/>
                <w:sz w:val="24"/>
              </w:rPr>
              <w:t xml:space="preserve"> 371,420.00 </w:t>
            </w:r>
          </w:p>
        </w:tc>
      </w:tr>
      <w:tr>
        <w:tblPrEx>
          <w:tblCellMar>
            <w:top w:w="0" w:type="dxa"/>
            <w:left w:w="108" w:type="dxa"/>
            <w:bottom w:w="0" w:type="dxa"/>
            <w:right w:w="108" w:type="dxa"/>
          </w:tblCellMar>
        </w:tblPrEx>
        <w:trPr>
          <w:trHeight w:val="382" w:hRule="atLeast"/>
        </w:trPr>
        <w:tc>
          <w:tcPr>
            <w:tcW w:w="6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小计</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9套</w:t>
            </w:r>
          </w:p>
        </w:tc>
        <w:tc>
          <w:tcPr>
            <w:tcW w:w="16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 xml:space="preserve"> 2,994,880.00 </w:t>
            </w:r>
          </w:p>
        </w:tc>
      </w:tr>
      <w:tr>
        <w:tblPrEx>
          <w:tblCellMar>
            <w:top w:w="0" w:type="dxa"/>
            <w:left w:w="108" w:type="dxa"/>
            <w:bottom w:w="0" w:type="dxa"/>
            <w:right w:w="108" w:type="dxa"/>
          </w:tblCellMar>
        </w:tblPrEx>
        <w:trPr>
          <w:trHeight w:val="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sz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00"/>
            <w:noWrap/>
          </w:tcPr>
          <w:p>
            <w:pPr>
              <w:widowControl/>
              <w:jc w:val="center"/>
              <w:textAlignment w:val="top"/>
              <w:rPr>
                <w:rFonts w:asciiTheme="minorEastAsia" w:hAnsiTheme="minorEastAsia" w:cstheme="minorEastAsia"/>
                <w:b/>
                <w:bCs/>
                <w:color w:val="000000"/>
                <w:sz w:val="24"/>
              </w:rPr>
            </w:pPr>
            <w:r>
              <w:rPr>
                <w:rFonts w:hint="eastAsia" w:asciiTheme="minorEastAsia" w:hAnsiTheme="minorEastAsia" w:cstheme="minorEastAsia"/>
                <w:b/>
                <w:bCs/>
                <w:color w:val="000000"/>
                <w:kern w:val="0"/>
                <w:sz w:val="24"/>
              </w:rPr>
              <w:t>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6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c>
          <w:tcPr>
            <w:tcW w:w="1789"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asciiTheme="minorEastAsia" w:hAnsiTheme="minorEastAsia" w:cstheme="minorEastAsia"/>
                <w:b/>
                <w:bCs/>
                <w:color w:val="000000"/>
                <w:sz w:val="24"/>
              </w:rPr>
            </w:pPr>
          </w:p>
        </w:tc>
      </w:tr>
      <w:tr>
        <w:tblPrEx>
          <w:tblCellMar>
            <w:top w:w="0" w:type="dxa"/>
            <w:left w:w="108" w:type="dxa"/>
            <w:bottom w:w="0" w:type="dxa"/>
            <w:right w:w="108" w:type="dxa"/>
          </w:tblCellMar>
        </w:tblPrEx>
        <w:trPr>
          <w:trHeight w:val="299" w:hRule="atLeast"/>
        </w:trPr>
        <w:tc>
          <w:tcPr>
            <w:tcW w:w="692" w:type="dxa"/>
            <w:tcBorders>
              <w:top w:val="nil"/>
              <w:left w:val="nil"/>
              <w:bottom w:val="nil"/>
              <w:right w:val="nil"/>
            </w:tcBorders>
            <w:vAlign w:val="center"/>
          </w:tcPr>
          <w:p>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pPr>
              <w:jc w:val="center"/>
              <w:rPr>
                <w:rFonts w:asciiTheme="minorEastAsia" w:hAnsiTheme="minorEastAsia" w:cstheme="minorEastAsia"/>
                <w:color w:val="000000"/>
                <w:sz w:val="22"/>
                <w:szCs w:val="22"/>
              </w:rPr>
            </w:pPr>
          </w:p>
        </w:tc>
      </w:tr>
      <w:tr>
        <w:tblPrEx>
          <w:tblCellMar>
            <w:top w:w="0" w:type="dxa"/>
            <w:left w:w="108" w:type="dxa"/>
            <w:bottom w:w="0" w:type="dxa"/>
            <w:right w:w="108" w:type="dxa"/>
          </w:tblCellMar>
        </w:tblPrEx>
        <w:trPr>
          <w:trHeight w:val="290" w:hRule="atLeast"/>
        </w:trPr>
        <w:tc>
          <w:tcPr>
            <w:tcW w:w="3149" w:type="dxa"/>
            <w:gridSpan w:val="3"/>
            <w:tcBorders>
              <w:top w:val="nil"/>
              <w:left w:val="nil"/>
              <w:bottom w:val="nil"/>
              <w:right w:val="nil"/>
            </w:tcBorders>
            <w:vAlign w:val="center"/>
          </w:tcPr>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kern w:val="0"/>
                <w:sz w:val="32"/>
                <w:szCs w:val="32"/>
              </w:rPr>
            </w:pPr>
          </w:p>
          <w:p>
            <w:pPr>
              <w:widowControl/>
              <w:jc w:val="left"/>
              <w:textAlignment w:val="center"/>
              <w:rPr>
                <w:rFonts w:asciiTheme="minorEastAsia" w:hAnsiTheme="minorEastAsia" w:cstheme="minorEastAsia"/>
                <w:color w:val="000000"/>
                <w:sz w:val="32"/>
                <w:szCs w:val="32"/>
              </w:rPr>
            </w:pPr>
            <w:r>
              <w:rPr>
                <w:rFonts w:hint="eastAsia" w:asciiTheme="minorEastAsia" w:hAnsiTheme="minorEastAsia" w:cstheme="minorEastAsia"/>
                <w:color w:val="000000"/>
                <w:kern w:val="0"/>
                <w:sz w:val="32"/>
                <w:szCs w:val="32"/>
              </w:rPr>
              <w:t>甲方（盖章）：</w:t>
            </w:r>
          </w:p>
        </w:tc>
        <w:tc>
          <w:tcPr>
            <w:tcW w:w="1687" w:type="dxa"/>
            <w:tcBorders>
              <w:top w:val="nil"/>
              <w:left w:val="nil"/>
              <w:bottom w:val="nil"/>
              <w:right w:val="nil"/>
            </w:tcBorders>
            <w:noWrap/>
            <w:vAlign w:val="center"/>
          </w:tcPr>
          <w:p>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kern w:val="0"/>
                <w:sz w:val="32"/>
                <w:szCs w:val="32"/>
              </w:rPr>
            </w:pPr>
          </w:p>
          <w:p>
            <w:pPr>
              <w:rPr>
                <w:rFonts w:asciiTheme="minorEastAsia" w:hAnsiTheme="minorEastAsia" w:cstheme="minorEastAsia"/>
                <w:color w:val="000000"/>
                <w:sz w:val="24"/>
              </w:rPr>
            </w:pPr>
            <w:r>
              <w:rPr>
                <w:rFonts w:hint="eastAsia" w:asciiTheme="minorEastAsia" w:hAnsiTheme="minorEastAsia" w:cstheme="minorEastAsia"/>
                <w:color w:val="000000"/>
                <w:kern w:val="0"/>
                <w:sz w:val="32"/>
                <w:szCs w:val="32"/>
              </w:rPr>
              <w:t>乙方（盖章）：</w:t>
            </w:r>
          </w:p>
        </w:tc>
      </w:tr>
    </w:tbl>
    <w:p>
      <w:pPr>
        <w:rPr>
          <w:rFonts w:asciiTheme="minorEastAsia" w:hAnsiTheme="minorEastAsia" w:cstheme="minorEastAsia"/>
          <w:b/>
          <w:bCs/>
          <w:sz w:val="32"/>
          <w:szCs w:val="40"/>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ZDBkMzcwN2QzNzJmMDk0NmRiOTE0NzdmODBjM2I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2717186B"/>
    <w:rsid w:val="30B654E5"/>
    <w:rsid w:val="353371CB"/>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926</Words>
  <Characters>5283</Characters>
  <Lines>44</Lines>
  <Paragraphs>12</Paragraphs>
  <TotalTime>101</TotalTime>
  <ScaleCrop>false</ScaleCrop>
  <LinksUpToDate>false</LinksUpToDate>
  <CharactersWithSpaces>6197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萱爸</cp:lastModifiedBy>
  <cp:lastPrinted>2023-06-26T11:59:00Z</cp:lastPrinted>
  <dcterms:modified xsi:type="dcterms:W3CDTF">2024-03-21T23:57:37Z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954169AA63AC41DB8832658E3376CA72_13</vt:lpwstr>
  </property>
</Properties>
</file>